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901D" w14:textId="2FC76042" w:rsidR="00755421" w:rsidRDefault="00167644">
      <w:r w:rsidRPr="00167644">
        <w:drawing>
          <wp:inline distT="0" distB="0" distL="0" distR="0" wp14:anchorId="0AB0A06F" wp14:editId="7AB7AF3A">
            <wp:extent cx="9777730" cy="5664835"/>
            <wp:effectExtent l="0" t="0" r="0" b="0"/>
            <wp:docPr id="550137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66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BEC8" w14:textId="77777777" w:rsidR="00167644" w:rsidRDefault="00167644"/>
    <w:p w14:paraId="6ED69C33" w14:textId="77777777" w:rsidR="00167644" w:rsidRDefault="00167644"/>
    <w:p w14:paraId="59295BAB" w14:textId="77777777" w:rsidR="00167644" w:rsidRDefault="00167644"/>
    <w:tbl>
      <w:tblPr>
        <w:tblpPr w:leftFromText="180" w:rightFromText="180" w:vertAnchor="page" w:horzAnchor="margin" w:tblpY="383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291"/>
        <w:gridCol w:w="3270"/>
        <w:gridCol w:w="3262"/>
        <w:gridCol w:w="1821"/>
        <w:gridCol w:w="1289"/>
        <w:gridCol w:w="1488"/>
      </w:tblGrid>
      <w:tr w:rsidR="00167644" w:rsidRPr="00167644" w14:paraId="623503E3" w14:textId="77777777" w:rsidTr="00167644">
        <w:trPr>
          <w:trHeight w:val="358"/>
        </w:trPr>
        <w:tc>
          <w:tcPr>
            <w:tcW w:w="3004" w:type="dxa"/>
            <w:tcBorders>
              <w:top w:val="single" w:sz="8" w:space="0" w:color="44627C"/>
              <w:left w:val="single" w:sz="8" w:space="0" w:color="44627C"/>
              <w:bottom w:val="single" w:sz="8" w:space="0" w:color="44627C"/>
              <w:right w:val="single" w:sz="8" w:space="0" w:color="44627C"/>
            </w:tcBorders>
            <w:shd w:val="clear" w:color="auto" w:fill="FBD4B4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14:paraId="6A5C95F3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"/>
                <w:szCs w:val="2"/>
                <w:lang w:eastAsia="en-GB"/>
                <w14:ligatures w14:val="none"/>
              </w:rPr>
            </w:pPr>
            <w:r w:rsidRPr="001676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lastRenderedPageBreak/>
              <w:t>Objective</w:t>
            </w:r>
          </w:p>
        </w:tc>
        <w:tc>
          <w:tcPr>
            <w:tcW w:w="1306" w:type="dxa"/>
            <w:tcBorders>
              <w:top w:val="single" w:sz="8" w:space="0" w:color="44627C"/>
              <w:left w:val="single" w:sz="8" w:space="0" w:color="44627C"/>
              <w:bottom w:val="single" w:sz="8" w:space="0" w:color="44627C"/>
              <w:right w:val="single" w:sz="8" w:space="0" w:color="44627C"/>
            </w:tcBorders>
            <w:shd w:val="clear" w:color="auto" w:fill="FBD4B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F16B68" w14:textId="77777777" w:rsidR="00167644" w:rsidRPr="00167644" w:rsidRDefault="00167644" w:rsidP="00167644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76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Dates</w:t>
            </w:r>
          </w:p>
        </w:tc>
        <w:tc>
          <w:tcPr>
            <w:tcW w:w="3335" w:type="dxa"/>
            <w:tcBorders>
              <w:top w:val="single" w:sz="8" w:space="0" w:color="44627C"/>
              <w:left w:val="single" w:sz="8" w:space="0" w:color="44627C"/>
              <w:bottom w:val="single" w:sz="8" w:space="0" w:color="44627C"/>
              <w:right w:val="single" w:sz="8" w:space="0" w:color="44627C"/>
            </w:tcBorders>
            <w:shd w:val="clear" w:color="auto" w:fill="FBD4B4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14:paraId="54B276B5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"/>
                <w:szCs w:val="2"/>
                <w:lang w:eastAsia="en-GB"/>
                <w14:ligatures w14:val="none"/>
              </w:rPr>
            </w:pPr>
            <w:r w:rsidRPr="001676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Strategy</w:t>
            </w:r>
          </w:p>
        </w:tc>
        <w:tc>
          <w:tcPr>
            <w:tcW w:w="3330" w:type="dxa"/>
            <w:tcBorders>
              <w:top w:val="single" w:sz="8" w:space="0" w:color="44627C"/>
              <w:left w:val="single" w:sz="8" w:space="0" w:color="44627C"/>
              <w:bottom w:val="single" w:sz="8" w:space="0" w:color="44627C"/>
              <w:right w:val="single" w:sz="8" w:space="0" w:color="44627C"/>
            </w:tcBorders>
            <w:shd w:val="clear" w:color="auto" w:fill="FBD4B4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14:paraId="5D80D665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"/>
                <w:szCs w:val="2"/>
                <w:lang w:eastAsia="en-GB"/>
                <w14:ligatures w14:val="none"/>
              </w:rPr>
            </w:pPr>
            <w:r w:rsidRPr="001676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Success Criteria</w:t>
            </w:r>
          </w:p>
        </w:tc>
        <w:tc>
          <w:tcPr>
            <w:tcW w:w="1829" w:type="dxa"/>
            <w:tcBorders>
              <w:top w:val="single" w:sz="8" w:space="0" w:color="44627C"/>
              <w:left w:val="single" w:sz="8" w:space="0" w:color="44627C"/>
              <w:bottom w:val="single" w:sz="8" w:space="0" w:color="44627C"/>
              <w:right w:val="single" w:sz="8" w:space="0" w:color="44627C"/>
            </w:tcBorders>
            <w:shd w:val="clear" w:color="auto" w:fill="FBD4B4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32ADB5F6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76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Responsibility </w:t>
            </w:r>
          </w:p>
        </w:tc>
        <w:tc>
          <w:tcPr>
            <w:tcW w:w="1299" w:type="dxa"/>
            <w:tcBorders>
              <w:top w:val="single" w:sz="8" w:space="0" w:color="44627C"/>
              <w:left w:val="single" w:sz="8" w:space="0" w:color="44627C"/>
              <w:bottom w:val="single" w:sz="8" w:space="0" w:color="44627C"/>
              <w:right w:val="single" w:sz="8" w:space="0" w:color="44627C"/>
            </w:tcBorders>
            <w:shd w:val="clear" w:color="auto" w:fill="FBD4B4"/>
          </w:tcPr>
          <w:p w14:paraId="4D2A6CF7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    Cost </w:t>
            </w:r>
          </w:p>
        </w:tc>
        <w:tc>
          <w:tcPr>
            <w:tcW w:w="1495" w:type="dxa"/>
            <w:tcBorders>
              <w:top w:val="single" w:sz="8" w:space="0" w:color="44627C"/>
              <w:left w:val="single" w:sz="8" w:space="0" w:color="44627C"/>
              <w:bottom w:val="single" w:sz="8" w:space="0" w:color="44627C"/>
              <w:right w:val="single" w:sz="8" w:space="0" w:color="44627C"/>
            </w:tcBorders>
            <w:shd w:val="clear" w:color="auto" w:fill="FBD4B4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14:paraId="6FA32E52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"/>
                <w:szCs w:val="2"/>
                <w:lang w:eastAsia="en-GB"/>
                <w14:ligatures w14:val="none"/>
              </w:rPr>
            </w:pPr>
            <w:r w:rsidRPr="001676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Monitoring \ Evaluation</w:t>
            </w:r>
          </w:p>
        </w:tc>
      </w:tr>
      <w:tr w:rsidR="00167644" w:rsidRPr="00167644" w14:paraId="3731238D" w14:textId="77777777" w:rsidTr="00A20FDC">
        <w:trPr>
          <w:trHeight w:val="313"/>
        </w:trPr>
        <w:tc>
          <w:tcPr>
            <w:tcW w:w="30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6E2FE4C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To continue to improve attendance so that it is at least in line with National average.</w:t>
            </w:r>
          </w:p>
        </w:tc>
        <w:tc>
          <w:tcPr>
            <w:tcW w:w="13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2737C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Ongoing</w:t>
            </w:r>
          </w:p>
        </w:tc>
        <w:tc>
          <w:tcPr>
            <w:tcW w:w="33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9555FFF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To continue to implement the Middlefield Graduated Approach to Attendance.</w:t>
            </w:r>
          </w:p>
        </w:tc>
        <w:tc>
          <w:tcPr>
            <w:tcW w:w="33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B508E88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Attendance will improve to at least in line with National. </w:t>
            </w:r>
          </w:p>
          <w:p w14:paraId="6C78C986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22-23:</w:t>
            </w:r>
          </w:p>
          <w:p w14:paraId="70D81CE0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Middlefield 6.1%, PA 16.4%</w:t>
            </w:r>
          </w:p>
          <w:p w14:paraId="2DD8BFAD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LA 5.9%, PA17.1%</w:t>
            </w:r>
          </w:p>
          <w:p w14:paraId="6F3E24E4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National 5.9%, PA 17%</w:t>
            </w:r>
          </w:p>
        </w:tc>
        <w:tc>
          <w:tcPr>
            <w:tcW w:w="18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E1A1EE3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CE</w:t>
            </w:r>
          </w:p>
        </w:tc>
        <w:tc>
          <w:tcPr>
            <w:tcW w:w="12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B1FBF36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£12,000 including EWO SLA</w:t>
            </w:r>
          </w:p>
        </w:tc>
        <w:tc>
          <w:tcPr>
            <w:tcW w:w="14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BF73ECD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167644" w:rsidRPr="00167644" w14:paraId="4FF6512F" w14:textId="77777777" w:rsidTr="00A20FDC">
        <w:trPr>
          <w:trHeight w:val="313"/>
        </w:trPr>
        <w:tc>
          <w:tcPr>
            <w:tcW w:w="30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732DB355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To develop rewards and sanctions to ensure behaviour is outstanding.</w:t>
            </w:r>
          </w:p>
        </w:tc>
        <w:tc>
          <w:tcPr>
            <w:tcW w:w="13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5BF49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Ongoing</w:t>
            </w:r>
          </w:p>
          <w:p w14:paraId="7DC833A6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472693C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43BD513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Aut</w:t>
            </w:r>
            <w:proofErr w:type="spellEnd"/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1</w:t>
            </w:r>
          </w:p>
        </w:tc>
        <w:tc>
          <w:tcPr>
            <w:tcW w:w="33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766A0F2B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To implement the use of Class Charts as a behaviour management tool.</w:t>
            </w:r>
          </w:p>
          <w:p w14:paraId="5DD4D995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To rewrite the behaviour policy to reflect changes to our current systems.</w:t>
            </w:r>
          </w:p>
        </w:tc>
        <w:tc>
          <w:tcPr>
            <w:tcW w:w="33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9AC17CC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All stakeholders confident in the use of Class Charts.  </w:t>
            </w:r>
          </w:p>
          <w:p w14:paraId="6A19D1D0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Rewards and sanctions used consistently across school by all staff.</w:t>
            </w:r>
          </w:p>
          <w:p w14:paraId="7B92F732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Standards and expectations of behaviour visible and understood.</w:t>
            </w:r>
          </w:p>
        </w:tc>
        <w:tc>
          <w:tcPr>
            <w:tcW w:w="18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02222D0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DP, CE, JL</w:t>
            </w:r>
          </w:p>
        </w:tc>
        <w:tc>
          <w:tcPr>
            <w:tcW w:w="12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89E63E6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£12,000 including licence for Class Charts</w:t>
            </w:r>
          </w:p>
        </w:tc>
        <w:tc>
          <w:tcPr>
            <w:tcW w:w="14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7F6B3C54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167644" w:rsidRPr="00167644" w14:paraId="5C659DE5" w14:textId="77777777" w:rsidTr="00A20FDC">
        <w:trPr>
          <w:trHeight w:val="2161"/>
        </w:trPr>
        <w:tc>
          <w:tcPr>
            <w:tcW w:w="30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7955CDB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To develop </w:t>
            </w:r>
            <w:r w:rsidRPr="00167644">
              <w:rPr>
                <w:rFonts w:ascii="Arial" w:eastAsia="Calibri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the teaching sequence of Writing to ensure greater consistency.</w:t>
            </w:r>
          </w:p>
        </w:tc>
        <w:tc>
          <w:tcPr>
            <w:tcW w:w="13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17FCCC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Autumn 1</w:t>
            </w:r>
          </w:p>
          <w:p w14:paraId="4B4A03A3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17A62D9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F2F087A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A653505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7AFCEAB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Ongoing</w:t>
            </w:r>
          </w:p>
        </w:tc>
        <w:tc>
          <w:tcPr>
            <w:tcW w:w="33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E984566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To develop a structured teaching sequence for staff to deliver:</w:t>
            </w:r>
          </w:p>
          <w:p w14:paraId="52AB1446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LTP</w:t>
            </w:r>
          </w:p>
          <w:p w14:paraId="0835A071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MTP</w:t>
            </w:r>
          </w:p>
          <w:p w14:paraId="0C58CED1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  <w:p w14:paraId="4602F181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To provide CPD for staff to support their delivery.</w:t>
            </w:r>
          </w:p>
          <w:p w14:paraId="79F7C9EF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3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20AE17E" w14:textId="77777777" w:rsidR="00167644" w:rsidRPr="00167644" w:rsidRDefault="00167644" w:rsidP="00167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en-US"/>
                <w14:ligatures w14:val="none"/>
              </w:rPr>
              <w:t xml:space="preserve">Planning is consistent in structure and </w:t>
            </w:r>
            <w:proofErr w:type="gramStart"/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en-US"/>
                <w14:ligatures w14:val="none"/>
              </w:rPr>
              <w:t>quality</w:t>
            </w:r>
            <w:proofErr w:type="gramEnd"/>
          </w:p>
          <w:p w14:paraId="6679686D" w14:textId="77777777" w:rsidR="00167644" w:rsidRPr="00167644" w:rsidRDefault="00167644" w:rsidP="00167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en-US"/>
                <w14:ligatures w14:val="none"/>
              </w:rPr>
              <w:t xml:space="preserve">Evidence of clear teaching sequence in children’s work- Read, </w:t>
            </w:r>
            <w:proofErr w:type="spellStart"/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en-US"/>
                <w14:ligatures w14:val="none"/>
              </w:rPr>
              <w:t>Analyse</w:t>
            </w:r>
            <w:proofErr w:type="spellEnd"/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en-US"/>
                <w14:ligatures w14:val="none"/>
              </w:rPr>
              <w:t>, Plan, Write, Edit.</w:t>
            </w:r>
          </w:p>
          <w:p w14:paraId="5AA80CA4" w14:textId="77777777" w:rsidR="00167644" w:rsidRPr="00167644" w:rsidRDefault="00167644" w:rsidP="00167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en-US"/>
                <w14:ligatures w14:val="none"/>
              </w:rPr>
              <w:t xml:space="preserve">Improvement in </w:t>
            </w:r>
            <w:proofErr w:type="gramStart"/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en-US"/>
                <w14:ligatures w14:val="none"/>
              </w:rPr>
              <w:t>quality</w:t>
            </w:r>
            <w:proofErr w:type="gramEnd"/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en-US"/>
                <w14:ligatures w14:val="none"/>
              </w:rPr>
              <w:t xml:space="preserve"> of writing evident in all year groups.</w:t>
            </w:r>
          </w:p>
          <w:p w14:paraId="7BF9D0C2" w14:textId="77777777" w:rsidR="00167644" w:rsidRPr="00167644" w:rsidRDefault="00167644" w:rsidP="00167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en-US"/>
                <w14:ligatures w14:val="none"/>
              </w:rPr>
              <w:t>More children working at EXS in writing in all year groups.</w:t>
            </w:r>
          </w:p>
          <w:p w14:paraId="39CA92DF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8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B713A2C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BF</w:t>
            </w:r>
          </w:p>
        </w:tc>
        <w:tc>
          <w:tcPr>
            <w:tcW w:w="12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1D17690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£2000 for additional anchor texts and resources.</w:t>
            </w:r>
          </w:p>
        </w:tc>
        <w:tc>
          <w:tcPr>
            <w:tcW w:w="14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BBE3E37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167644" w:rsidRPr="00167644" w14:paraId="2B7B1B4B" w14:textId="77777777" w:rsidTr="00A20FDC">
        <w:trPr>
          <w:trHeight w:val="313"/>
        </w:trPr>
        <w:tc>
          <w:tcPr>
            <w:tcW w:w="30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16732D5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To ensure consistency of subject leadership in all foundation subjects.</w:t>
            </w:r>
          </w:p>
        </w:tc>
        <w:tc>
          <w:tcPr>
            <w:tcW w:w="13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15EAA6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Autumn</w:t>
            </w:r>
          </w:p>
        </w:tc>
        <w:tc>
          <w:tcPr>
            <w:tcW w:w="33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76D7B0E7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Curriculum </w:t>
            </w:r>
            <w:proofErr w:type="gramStart"/>
            <w:r w:rsidRPr="00167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lead</w:t>
            </w:r>
            <w:proofErr w:type="gramEnd"/>
            <w:r w:rsidRPr="00167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 to provide targeted support for Art, Geography, History and DT leads.</w:t>
            </w:r>
          </w:p>
        </w:tc>
        <w:tc>
          <w:tcPr>
            <w:tcW w:w="33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BAA7C83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proofErr w:type="gramStart"/>
            <w:r w:rsidRPr="00167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Medium and short term</w:t>
            </w:r>
            <w:proofErr w:type="gramEnd"/>
            <w:r w:rsidRPr="00167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 plans show consistency in planning, teaching and assessment.</w:t>
            </w:r>
          </w:p>
        </w:tc>
        <w:tc>
          <w:tcPr>
            <w:tcW w:w="18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6778B53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EJS</w:t>
            </w:r>
          </w:p>
        </w:tc>
        <w:tc>
          <w:tcPr>
            <w:tcW w:w="12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328D1E9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0099A8F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167644" w:rsidRPr="00167644" w14:paraId="10D534C0" w14:textId="77777777" w:rsidTr="00A20FDC">
        <w:trPr>
          <w:trHeight w:val="313"/>
        </w:trPr>
        <w:tc>
          <w:tcPr>
            <w:tcW w:w="30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CD2E0B1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To support year 5 staff with the implementation and delivery of the Opening Worlds Humanities programme</w:t>
            </w:r>
          </w:p>
        </w:tc>
        <w:tc>
          <w:tcPr>
            <w:tcW w:w="13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02B4FA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Ongoing</w:t>
            </w:r>
          </w:p>
        </w:tc>
        <w:tc>
          <w:tcPr>
            <w:tcW w:w="33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FE5AA05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Curriculum </w:t>
            </w:r>
            <w:proofErr w:type="gramStart"/>
            <w:r w:rsidRPr="00167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lead</w:t>
            </w:r>
            <w:proofErr w:type="gramEnd"/>
            <w:r w:rsidRPr="00167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 to provide training, support and guidance with teaching, delivery and assessment of programme.</w:t>
            </w:r>
          </w:p>
        </w:tc>
        <w:tc>
          <w:tcPr>
            <w:tcW w:w="33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8B85B6E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Learning walks and book </w:t>
            </w:r>
            <w:proofErr w:type="spellStart"/>
            <w:r w:rsidRPr="00167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scrutinies</w:t>
            </w:r>
            <w:proofErr w:type="spellEnd"/>
            <w:r w:rsidRPr="00167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 reflect expected standards.</w:t>
            </w:r>
          </w:p>
        </w:tc>
        <w:tc>
          <w:tcPr>
            <w:tcW w:w="18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3986E18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EJS</w:t>
            </w:r>
          </w:p>
        </w:tc>
        <w:tc>
          <w:tcPr>
            <w:tcW w:w="12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9C44E1B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AF55546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167644" w:rsidRPr="00167644" w14:paraId="5D8C3AD2" w14:textId="77777777" w:rsidTr="00A20FDC">
        <w:trPr>
          <w:trHeight w:val="313"/>
        </w:trPr>
        <w:tc>
          <w:tcPr>
            <w:tcW w:w="30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E5566D1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To continue to support CPD of year 3 and 4 staff in relation to Opening Worlds Humanities programme.</w:t>
            </w:r>
          </w:p>
        </w:tc>
        <w:tc>
          <w:tcPr>
            <w:tcW w:w="13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563B31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Ongoing</w:t>
            </w:r>
          </w:p>
        </w:tc>
        <w:tc>
          <w:tcPr>
            <w:tcW w:w="33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029836B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Year 3 and 4 staff to attend training and monitoring events organised by OWH and SIL.</w:t>
            </w:r>
          </w:p>
        </w:tc>
        <w:tc>
          <w:tcPr>
            <w:tcW w:w="33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3A377B1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Standards are in line with OWH expectations.</w:t>
            </w:r>
          </w:p>
        </w:tc>
        <w:tc>
          <w:tcPr>
            <w:tcW w:w="18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1337049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EJS</w:t>
            </w:r>
          </w:p>
        </w:tc>
        <w:tc>
          <w:tcPr>
            <w:tcW w:w="12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D674FBA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F6A56AE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167644" w:rsidRPr="00167644" w14:paraId="694A9F4B" w14:textId="77777777" w:rsidTr="00A20FDC">
        <w:trPr>
          <w:trHeight w:val="313"/>
        </w:trPr>
        <w:tc>
          <w:tcPr>
            <w:tcW w:w="30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7B97835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lastRenderedPageBreak/>
              <w:t xml:space="preserve">To implement the new </w:t>
            </w:r>
            <w:proofErr w:type="spellStart"/>
            <w:r w:rsidRPr="001676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Harringey</w:t>
            </w:r>
            <w:proofErr w:type="spellEnd"/>
            <w:r w:rsidRPr="001676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 xml:space="preserve"> Science curriculum in KS2.</w:t>
            </w:r>
          </w:p>
        </w:tc>
        <w:tc>
          <w:tcPr>
            <w:tcW w:w="13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457500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Ongoing</w:t>
            </w:r>
          </w:p>
        </w:tc>
        <w:tc>
          <w:tcPr>
            <w:tcW w:w="33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70A6627B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 xml:space="preserve">KS2 Staff to attend training for new curriculum. Science </w:t>
            </w:r>
            <w:proofErr w:type="gramStart"/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lead</w:t>
            </w:r>
            <w:proofErr w:type="gramEnd"/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 xml:space="preserve"> to oversee implementation and delivery of new curriculum.</w:t>
            </w:r>
          </w:p>
        </w:tc>
        <w:tc>
          <w:tcPr>
            <w:tcW w:w="33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A1CEE96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 xml:space="preserve">Learning walks and book </w:t>
            </w:r>
            <w:proofErr w:type="spellStart"/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scrutinies</w:t>
            </w:r>
            <w:proofErr w:type="spellEnd"/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 xml:space="preserve"> reflect expected standards.</w:t>
            </w:r>
          </w:p>
          <w:p w14:paraId="02F9CB89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Staff are confident in delivery and have improved subject knowledge.</w:t>
            </w:r>
          </w:p>
        </w:tc>
        <w:tc>
          <w:tcPr>
            <w:tcW w:w="18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401EE7B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CS</w:t>
            </w:r>
          </w:p>
        </w:tc>
        <w:tc>
          <w:tcPr>
            <w:tcW w:w="12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926C8DE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 xml:space="preserve">£7000 including subscription to </w:t>
            </w:r>
            <w:proofErr w:type="spellStart"/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Harringey</w:t>
            </w:r>
            <w:proofErr w:type="spellEnd"/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 xml:space="preserve"> training, </w:t>
            </w:r>
            <w:proofErr w:type="gramStart"/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texts</w:t>
            </w:r>
            <w:proofErr w:type="gramEnd"/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 xml:space="preserve"> and necessary resources</w:t>
            </w:r>
          </w:p>
        </w:tc>
        <w:tc>
          <w:tcPr>
            <w:tcW w:w="14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7FF4B181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167644" w:rsidRPr="00167644" w14:paraId="39A4FC08" w14:textId="77777777" w:rsidTr="00A20FDC">
        <w:trPr>
          <w:trHeight w:val="313"/>
        </w:trPr>
        <w:tc>
          <w:tcPr>
            <w:tcW w:w="30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ECDDCC8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To further support staff CPD in computing through MGL.</w:t>
            </w:r>
          </w:p>
        </w:tc>
        <w:tc>
          <w:tcPr>
            <w:tcW w:w="13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BCB02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Ongoing</w:t>
            </w:r>
          </w:p>
        </w:tc>
        <w:tc>
          <w:tcPr>
            <w:tcW w:w="33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75C7EA5C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 xml:space="preserve">MGL to provide specialist teacher for half a day per week to deliver lessons and upskill staff. </w:t>
            </w:r>
          </w:p>
          <w:p w14:paraId="1176B513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MGL provide curriculum and assessment support.</w:t>
            </w:r>
          </w:p>
        </w:tc>
        <w:tc>
          <w:tcPr>
            <w:tcW w:w="33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20D51E0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High quality computing lessons are delivered evidenced through learning walks and pupil voice.</w:t>
            </w:r>
          </w:p>
        </w:tc>
        <w:tc>
          <w:tcPr>
            <w:tcW w:w="18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40ACC27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HF</w:t>
            </w:r>
          </w:p>
        </w:tc>
        <w:tc>
          <w:tcPr>
            <w:tcW w:w="12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D46BC79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£8280 for half day per week curriculum support and delivery from MGL</w:t>
            </w:r>
          </w:p>
        </w:tc>
        <w:tc>
          <w:tcPr>
            <w:tcW w:w="14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DB952A9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167644" w:rsidRPr="00167644" w14:paraId="2E7A5439" w14:textId="77777777" w:rsidTr="00A20FDC">
        <w:trPr>
          <w:trHeight w:val="313"/>
        </w:trPr>
        <w:tc>
          <w:tcPr>
            <w:tcW w:w="30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9658232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To reinforce the profile of multiplication in LKS2.</w:t>
            </w:r>
          </w:p>
        </w:tc>
        <w:tc>
          <w:tcPr>
            <w:tcW w:w="13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06FFD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Ongoing</w:t>
            </w:r>
          </w:p>
        </w:tc>
        <w:tc>
          <w:tcPr>
            <w:tcW w:w="33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114FCC0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Protect timetabled multiplication sessions. Continued staff CPD. Incentivise home participation in multiplication practise.</w:t>
            </w:r>
          </w:p>
        </w:tc>
        <w:tc>
          <w:tcPr>
            <w:tcW w:w="33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D31224C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Improved engagement and MTC scores in Year 4.</w:t>
            </w:r>
          </w:p>
        </w:tc>
        <w:tc>
          <w:tcPr>
            <w:tcW w:w="18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0FDA190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Cs/>
                <w:color w:val="00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JL</w:t>
            </w:r>
          </w:p>
        </w:tc>
        <w:tc>
          <w:tcPr>
            <w:tcW w:w="12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D2BF6FD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7AAF3467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167644" w:rsidRPr="00167644" w14:paraId="40C55EBA" w14:textId="77777777" w:rsidTr="00A20FDC">
        <w:trPr>
          <w:trHeight w:val="313"/>
        </w:trPr>
        <w:tc>
          <w:tcPr>
            <w:tcW w:w="30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5FDCB7A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To repurpose decodable books for home readers</w:t>
            </w:r>
          </w:p>
        </w:tc>
        <w:tc>
          <w:tcPr>
            <w:tcW w:w="13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3C6B6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kern w:val="0"/>
                <w:sz w:val="19"/>
                <w:szCs w:val="19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lang w:eastAsia="en-GB"/>
                <w14:ligatures w14:val="none"/>
              </w:rPr>
              <w:t>Autumn 1</w:t>
            </w:r>
          </w:p>
        </w:tc>
        <w:tc>
          <w:tcPr>
            <w:tcW w:w="33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89B0138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Put all early readers/phonics decodable books into current book bands for use as home readers.</w:t>
            </w:r>
          </w:p>
        </w:tc>
        <w:tc>
          <w:tcPr>
            <w:tcW w:w="33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D8A97AA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Children take home the correct reading book for their phonics stage</w:t>
            </w:r>
          </w:p>
        </w:tc>
        <w:tc>
          <w:tcPr>
            <w:tcW w:w="18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8E911D3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LB / BF</w:t>
            </w:r>
          </w:p>
        </w:tc>
        <w:tc>
          <w:tcPr>
            <w:tcW w:w="12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05DA6EA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3D941FE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167644" w:rsidRPr="00167644" w14:paraId="6E233044" w14:textId="77777777" w:rsidTr="00A20FDC">
        <w:trPr>
          <w:trHeight w:val="313"/>
        </w:trPr>
        <w:tc>
          <w:tcPr>
            <w:tcW w:w="30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ECFDAE9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To source, develop and implement improved Phonics intervention for lowest 20% from EYFS to Year 3</w:t>
            </w:r>
          </w:p>
        </w:tc>
        <w:tc>
          <w:tcPr>
            <w:tcW w:w="13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0E1894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kern w:val="0"/>
                <w:sz w:val="19"/>
                <w:szCs w:val="19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lang w:eastAsia="en-GB"/>
                <w14:ligatures w14:val="none"/>
              </w:rPr>
              <w:t>Autumn 1</w:t>
            </w:r>
          </w:p>
        </w:tc>
        <w:tc>
          <w:tcPr>
            <w:tcW w:w="33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2D1AA07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Consider Anima Phonics revised intervention published in Sept. Implement if appropriate.</w:t>
            </w:r>
          </w:p>
          <w:p w14:paraId="3074943A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 xml:space="preserve">If not suitable, source or develop </w:t>
            </w:r>
            <w:proofErr w:type="gramStart"/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alternative</w:t>
            </w:r>
            <w:proofErr w:type="gramEnd"/>
          </w:p>
          <w:p w14:paraId="03674C11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3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CDDD73B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Lowest 20% of readers receive excellent support and improved outcomes</w:t>
            </w:r>
          </w:p>
        </w:tc>
        <w:tc>
          <w:tcPr>
            <w:tcW w:w="18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596CEF8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LB/ BF</w:t>
            </w:r>
          </w:p>
        </w:tc>
        <w:tc>
          <w:tcPr>
            <w:tcW w:w="12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58EE673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62B81E7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167644" w:rsidRPr="00167644" w14:paraId="59BC02B1" w14:textId="77777777" w:rsidTr="00A20FDC">
        <w:trPr>
          <w:trHeight w:val="313"/>
        </w:trPr>
        <w:tc>
          <w:tcPr>
            <w:tcW w:w="30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6FF8721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To introduce Clicker as a tool for supporting the significantly below children.</w:t>
            </w:r>
          </w:p>
        </w:tc>
        <w:tc>
          <w:tcPr>
            <w:tcW w:w="13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EFE285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kern w:val="0"/>
                <w:sz w:val="19"/>
                <w:szCs w:val="19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lang w:eastAsia="en-GB"/>
                <w14:ligatures w14:val="none"/>
              </w:rPr>
              <w:t>Ongoing</w:t>
            </w:r>
          </w:p>
        </w:tc>
        <w:tc>
          <w:tcPr>
            <w:tcW w:w="33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4D1C083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Purchase Clicker and deliver CPD for staff.</w:t>
            </w:r>
          </w:p>
          <w:p w14:paraId="3DD34445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Ongoing support for staff and monitoring.</w:t>
            </w:r>
          </w:p>
        </w:tc>
        <w:tc>
          <w:tcPr>
            <w:tcW w:w="33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CEEED5F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Clicker is used regularly to enhance the learning opportunities for significantly below children.</w:t>
            </w:r>
          </w:p>
        </w:tc>
        <w:tc>
          <w:tcPr>
            <w:tcW w:w="18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5153B57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EW</w:t>
            </w:r>
          </w:p>
        </w:tc>
        <w:tc>
          <w:tcPr>
            <w:tcW w:w="12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A924CC0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£3000 for subscription and training</w:t>
            </w:r>
          </w:p>
        </w:tc>
        <w:tc>
          <w:tcPr>
            <w:tcW w:w="14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9973AEB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167644" w:rsidRPr="00167644" w14:paraId="155AFC35" w14:textId="77777777" w:rsidTr="00A20FDC">
        <w:trPr>
          <w:trHeight w:val="313"/>
        </w:trPr>
        <w:tc>
          <w:tcPr>
            <w:tcW w:w="30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CC0186B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To promote the profile of P4C and ensure that the high standards are maintained.</w:t>
            </w:r>
          </w:p>
        </w:tc>
        <w:tc>
          <w:tcPr>
            <w:tcW w:w="13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758BBA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kern w:val="0"/>
                <w:sz w:val="19"/>
                <w:szCs w:val="19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lang w:eastAsia="en-GB"/>
                <w14:ligatures w14:val="none"/>
              </w:rPr>
              <w:t>Ongoing</w:t>
            </w:r>
          </w:p>
        </w:tc>
        <w:tc>
          <w:tcPr>
            <w:tcW w:w="33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87E23A8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Ensure that P4C is protected in the timetable and threaded through the curriculum.</w:t>
            </w:r>
          </w:p>
        </w:tc>
        <w:tc>
          <w:tcPr>
            <w:tcW w:w="33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A2AA9A3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Retain school’s ‘Gold Award’ for P4C</w:t>
            </w:r>
          </w:p>
        </w:tc>
        <w:tc>
          <w:tcPr>
            <w:tcW w:w="18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1BAC89B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LD/EJS</w:t>
            </w:r>
          </w:p>
        </w:tc>
        <w:tc>
          <w:tcPr>
            <w:tcW w:w="12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5AE957B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5A99236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167644" w:rsidRPr="00167644" w14:paraId="0B021760" w14:textId="77777777" w:rsidTr="00A20FDC">
        <w:trPr>
          <w:trHeight w:val="313"/>
        </w:trPr>
        <w:tc>
          <w:tcPr>
            <w:tcW w:w="30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E8A47E2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u w:val="single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u w:val="single"/>
                <w:bdr w:val="none" w:sz="0" w:space="0" w:color="auto" w:frame="1"/>
                <w:lang w:eastAsia="en-GB"/>
                <w14:ligatures w14:val="none"/>
              </w:rPr>
              <w:t>EYFS</w:t>
            </w:r>
          </w:p>
          <w:p w14:paraId="79F47FA4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To embed our new curriculum through a programme of CPD for support staff.</w:t>
            </w:r>
          </w:p>
        </w:tc>
        <w:tc>
          <w:tcPr>
            <w:tcW w:w="13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D1AEEA" w14:textId="77777777" w:rsidR="00167644" w:rsidRPr="00167644" w:rsidRDefault="00167644" w:rsidP="00167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FF0000"/>
                <w:kern w:val="0"/>
                <w:sz w:val="19"/>
                <w:szCs w:val="19"/>
                <w:lang w:eastAsia="en-GB"/>
                <w14:ligatures w14:val="none"/>
              </w:rPr>
            </w:pPr>
          </w:p>
        </w:tc>
        <w:tc>
          <w:tcPr>
            <w:tcW w:w="33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E30160F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Plan and deliver CPD for support staff around the new curriculum.</w:t>
            </w:r>
          </w:p>
        </w:tc>
        <w:tc>
          <w:tcPr>
            <w:tcW w:w="33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5CB0920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Support staff are confident in the EYFS provision</w:t>
            </w:r>
          </w:p>
        </w:tc>
        <w:tc>
          <w:tcPr>
            <w:tcW w:w="18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929FBFF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  <w:r w:rsidRPr="00167644">
              <w:rPr>
                <w:rFonts w:ascii="Arial" w:eastAsia="Times New Roman" w:hAnsi="Arial" w:cs="Arial"/>
                <w:bCs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  <w:t>KW</w:t>
            </w:r>
          </w:p>
        </w:tc>
        <w:tc>
          <w:tcPr>
            <w:tcW w:w="12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AB54AA5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19"/>
                <w:szCs w:val="19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7FD49B9" w14:textId="77777777" w:rsidR="00167644" w:rsidRPr="00167644" w:rsidRDefault="00167644" w:rsidP="001676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</w:tr>
    </w:tbl>
    <w:p w14:paraId="1ED15FA2" w14:textId="77777777" w:rsidR="00167644" w:rsidRDefault="00167644"/>
    <w:sectPr w:rsidR="00167644" w:rsidSect="001676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44"/>
    <w:rsid w:val="00167644"/>
    <w:rsid w:val="0075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54A0"/>
  <w15:chartTrackingRefBased/>
  <w15:docId w15:val="{F3C57687-0BF0-40C9-9E5C-239C35F0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Potter</dc:creator>
  <cp:keywords/>
  <dc:description/>
  <cp:lastModifiedBy>David Potter</cp:lastModifiedBy>
  <cp:revision>1</cp:revision>
  <dcterms:created xsi:type="dcterms:W3CDTF">2023-07-05T09:20:00Z</dcterms:created>
  <dcterms:modified xsi:type="dcterms:W3CDTF">2023-07-05T09:22:00Z</dcterms:modified>
</cp:coreProperties>
</file>