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B0B263" w14:textId="77777777" w:rsidR="00132CD3" w:rsidRDefault="00132CD3" w:rsidP="00317E58">
      <w:pPr>
        <w:rPr>
          <w:rFonts w:ascii="Century Gothic" w:hAnsi="Century Gothic"/>
          <w:sz w:val="20"/>
          <w:szCs w:val="20"/>
        </w:rPr>
      </w:pPr>
    </w:p>
    <w:tbl>
      <w:tblPr>
        <w:tblStyle w:val="TableGrid"/>
        <w:tblW w:w="0" w:type="auto"/>
        <w:tblLook w:val="04A0" w:firstRow="1" w:lastRow="0" w:firstColumn="1" w:lastColumn="0" w:noHBand="0" w:noVBand="1"/>
      </w:tblPr>
      <w:tblGrid>
        <w:gridCol w:w="2547"/>
        <w:gridCol w:w="6237"/>
        <w:gridCol w:w="6604"/>
      </w:tblGrid>
      <w:tr w:rsidR="004E69D5" w:rsidRPr="00596233" w14:paraId="4215411C" w14:textId="77777777" w:rsidTr="006042A9">
        <w:trPr>
          <w:trHeight w:val="510"/>
        </w:trPr>
        <w:tc>
          <w:tcPr>
            <w:tcW w:w="2547" w:type="dxa"/>
            <w:tcBorders>
              <w:top w:val="nil"/>
              <w:left w:val="nil"/>
            </w:tcBorders>
          </w:tcPr>
          <w:p w14:paraId="2D17D038" w14:textId="77777777" w:rsidR="004E69D5" w:rsidRPr="00596233" w:rsidRDefault="004E69D5" w:rsidP="00596233">
            <w:pPr>
              <w:jc w:val="center"/>
              <w:rPr>
                <w:rFonts w:ascii="Century Gothic" w:hAnsi="Century Gothic"/>
                <w:b/>
                <w:bCs/>
                <w:sz w:val="20"/>
                <w:szCs w:val="20"/>
              </w:rPr>
            </w:pPr>
          </w:p>
        </w:tc>
        <w:tc>
          <w:tcPr>
            <w:tcW w:w="6237" w:type="dxa"/>
            <w:shd w:val="clear" w:color="auto" w:fill="C00000"/>
            <w:vAlign w:val="center"/>
          </w:tcPr>
          <w:p w14:paraId="059BB6A9" w14:textId="2DA503D3"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Year 5</w:t>
            </w:r>
          </w:p>
        </w:tc>
        <w:tc>
          <w:tcPr>
            <w:tcW w:w="6604" w:type="dxa"/>
            <w:shd w:val="clear" w:color="auto" w:fill="C00000"/>
            <w:vAlign w:val="center"/>
          </w:tcPr>
          <w:p w14:paraId="41BB1B5B" w14:textId="516291A1"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Year 6</w:t>
            </w:r>
          </w:p>
        </w:tc>
      </w:tr>
      <w:tr w:rsidR="004E69D5" w14:paraId="6A87AA55" w14:textId="77777777" w:rsidTr="006042A9">
        <w:tc>
          <w:tcPr>
            <w:tcW w:w="2547" w:type="dxa"/>
            <w:shd w:val="clear" w:color="auto" w:fill="C00000"/>
            <w:vAlign w:val="center"/>
          </w:tcPr>
          <w:p w14:paraId="446F9AD9" w14:textId="35B4229D"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Listening</w:t>
            </w:r>
          </w:p>
        </w:tc>
        <w:tc>
          <w:tcPr>
            <w:tcW w:w="6237" w:type="dxa"/>
          </w:tcPr>
          <w:p w14:paraId="08946235" w14:textId="09EDC3DB" w:rsidR="004E69D5" w:rsidRPr="006042A9" w:rsidRDefault="004E69D5" w:rsidP="00317E58">
            <w:pPr>
              <w:rPr>
                <w:rFonts w:ascii="Century Gothic" w:hAnsi="Century Gothic"/>
                <w:sz w:val="20"/>
                <w:szCs w:val="20"/>
              </w:rPr>
            </w:pPr>
            <w:r w:rsidRPr="006042A9">
              <w:rPr>
                <w:rFonts w:ascii="Century Gothic" w:hAnsi="Century Gothic"/>
                <w:sz w:val="20"/>
                <w:szCs w:val="20"/>
              </w:rPr>
              <w:t>Listen more attentively and for longer. Understand more of what we hear even when some of the language may be unfamiliar by using the decoding skills we have developed.</w:t>
            </w:r>
          </w:p>
        </w:tc>
        <w:tc>
          <w:tcPr>
            <w:tcW w:w="6604" w:type="dxa"/>
          </w:tcPr>
          <w:p w14:paraId="3F8849E5" w14:textId="7F616CAA" w:rsidR="004E69D5" w:rsidRPr="006042A9" w:rsidRDefault="004E69D5" w:rsidP="00317E58">
            <w:pPr>
              <w:rPr>
                <w:rFonts w:ascii="Century Gothic" w:hAnsi="Century Gothic"/>
                <w:sz w:val="20"/>
                <w:szCs w:val="20"/>
              </w:rPr>
            </w:pPr>
            <w:r w:rsidRPr="006042A9">
              <w:rPr>
                <w:rFonts w:ascii="Century Gothic" w:hAnsi="Century Gothic"/>
                <w:sz w:val="20"/>
                <w:szCs w:val="20"/>
              </w:rPr>
              <w:t>Listen to longer text and more authentic foreign language material. Learn to pick out cognates and familiar words and learn to 'gist listen' even when hearing language that has not been taught or covered.</w:t>
            </w:r>
          </w:p>
        </w:tc>
      </w:tr>
      <w:tr w:rsidR="004E69D5" w14:paraId="7E312D0D" w14:textId="77777777" w:rsidTr="006042A9">
        <w:tc>
          <w:tcPr>
            <w:tcW w:w="2547" w:type="dxa"/>
            <w:shd w:val="clear" w:color="auto" w:fill="C00000"/>
            <w:vAlign w:val="center"/>
          </w:tcPr>
          <w:p w14:paraId="719E7E67" w14:textId="258EDC72"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Speaking</w:t>
            </w:r>
          </w:p>
        </w:tc>
        <w:tc>
          <w:tcPr>
            <w:tcW w:w="6237" w:type="dxa"/>
          </w:tcPr>
          <w:p w14:paraId="68643B76" w14:textId="7A9A5579" w:rsidR="004E69D5" w:rsidRPr="006042A9" w:rsidRDefault="004E69D5" w:rsidP="00317E58">
            <w:pPr>
              <w:rPr>
                <w:rFonts w:ascii="Century Gothic" w:hAnsi="Century Gothic"/>
                <w:sz w:val="20"/>
                <w:szCs w:val="20"/>
              </w:rPr>
            </w:pPr>
            <w:r w:rsidRPr="006042A9">
              <w:rPr>
                <w:rFonts w:ascii="Century Gothic" w:hAnsi="Century Gothic"/>
                <w:sz w:val="20"/>
                <w:szCs w:val="20"/>
              </w:rPr>
              <w:t>Communicate on a wider range of topics and themes. Remember and recall a range of vocabulary with increased knowledge, confidence and spontaneity.</w:t>
            </w:r>
          </w:p>
        </w:tc>
        <w:tc>
          <w:tcPr>
            <w:tcW w:w="6604" w:type="dxa"/>
          </w:tcPr>
          <w:p w14:paraId="684A1C6B" w14:textId="24A78A00" w:rsidR="004E69D5" w:rsidRPr="006042A9" w:rsidRDefault="007706CC" w:rsidP="00317E58">
            <w:pPr>
              <w:rPr>
                <w:rFonts w:ascii="Century Gothic" w:hAnsi="Century Gothic"/>
                <w:sz w:val="20"/>
                <w:szCs w:val="20"/>
              </w:rPr>
            </w:pPr>
            <w:r w:rsidRPr="006042A9">
              <w:rPr>
                <w:rFonts w:ascii="Century Gothic" w:hAnsi="Century Gothic"/>
                <w:sz w:val="20"/>
                <w:szCs w:val="20"/>
              </w:rPr>
              <w:t>Learn to recall previously learnt language and recycle / incorporate it with new language with increased speed and spontaneity. Engage in short conversations on familiar topics, responding with opinions and justifications where appropriate.</w:t>
            </w:r>
          </w:p>
        </w:tc>
      </w:tr>
      <w:tr w:rsidR="004E69D5" w14:paraId="0FC7AD9F" w14:textId="77777777" w:rsidTr="006042A9">
        <w:tc>
          <w:tcPr>
            <w:tcW w:w="2547" w:type="dxa"/>
            <w:shd w:val="clear" w:color="auto" w:fill="C00000"/>
            <w:vAlign w:val="center"/>
          </w:tcPr>
          <w:p w14:paraId="3F9A596A" w14:textId="13C2FB57"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Reading</w:t>
            </w:r>
          </w:p>
        </w:tc>
        <w:tc>
          <w:tcPr>
            <w:tcW w:w="6237" w:type="dxa"/>
          </w:tcPr>
          <w:p w14:paraId="1F64FD91" w14:textId="45A742BB" w:rsidR="004E69D5" w:rsidRPr="006042A9" w:rsidRDefault="004E69D5" w:rsidP="00317E58">
            <w:pPr>
              <w:rPr>
                <w:rFonts w:ascii="Century Gothic" w:hAnsi="Century Gothic"/>
                <w:sz w:val="20"/>
                <w:szCs w:val="20"/>
              </w:rPr>
            </w:pPr>
            <w:r w:rsidRPr="006042A9">
              <w:rPr>
                <w:rFonts w:ascii="Century Gothic" w:hAnsi="Century Gothic"/>
                <w:sz w:val="20"/>
                <w:szCs w:val="20"/>
              </w:rPr>
              <w:t>Understand longer passages in the foreign language and start to decode meaning of unknown words using cognates and context. Increase our knowledge of phonemes and letter strings using knowledge learnt from 'Phonics Lessons 1 to 3'.</w:t>
            </w:r>
          </w:p>
        </w:tc>
        <w:tc>
          <w:tcPr>
            <w:tcW w:w="6604" w:type="dxa"/>
          </w:tcPr>
          <w:p w14:paraId="00607726" w14:textId="55D89652" w:rsidR="004E69D5" w:rsidRPr="006042A9" w:rsidRDefault="007706CC" w:rsidP="00317E58">
            <w:pPr>
              <w:rPr>
                <w:rFonts w:ascii="Century Gothic" w:hAnsi="Century Gothic"/>
                <w:sz w:val="20"/>
                <w:szCs w:val="20"/>
              </w:rPr>
            </w:pPr>
            <w:r w:rsidRPr="006042A9">
              <w:rPr>
                <w:rFonts w:ascii="Century Gothic" w:hAnsi="Century Gothic"/>
                <w:sz w:val="20"/>
                <w:szCs w:val="20"/>
              </w:rPr>
              <w:t>Be able to tackle unknown language with increased accuracy by applying knowledge learnt from 'Phonics Lessons 1 to 4' including awareness of accents, silent letters etc. Decode unknown language using bilingual dictionaries.</w:t>
            </w:r>
          </w:p>
        </w:tc>
      </w:tr>
      <w:tr w:rsidR="004E69D5" w14:paraId="75DF69A9" w14:textId="77777777" w:rsidTr="006042A9">
        <w:tc>
          <w:tcPr>
            <w:tcW w:w="2547" w:type="dxa"/>
            <w:shd w:val="clear" w:color="auto" w:fill="C00000"/>
            <w:vAlign w:val="center"/>
          </w:tcPr>
          <w:p w14:paraId="7A5C64CE" w14:textId="569F3FA0"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Writing</w:t>
            </w:r>
          </w:p>
        </w:tc>
        <w:tc>
          <w:tcPr>
            <w:tcW w:w="6237" w:type="dxa"/>
          </w:tcPr>
          <w:p w14:paraId="45943C50" w14:textId="64E076F0" w:rsidR="004E69D5" w:rsidRPr="006042A9" w:rsidRDefault="004E69D5" w:rsidP="00317E58">
            <w:pPr>
              <w:rPr>
                <w:rFonts w:ascii="Century Gothic" w:hAnsi="Century Gothic"/>
                <w:sz w:val="20"/>
                <w:szCs w:val="20"/>
              </w:rPr>
            </w:pPr>
            <w:r w:rsidRPr="006042A9">
              <w:rPr>
                <w:rFonts w:ascii="Century Gothic" w:hAnsi="Century Gothic"/>
                <w:sz w:val="20"/>
                <w:szCs w:val="20"/>
              </w:rPr>
              <w:t>W</w:t>
            </w:r>
            <w:r w:rsidRPr="006042A9">
              <w:rPr>
                <w:rFonts w:ascii="Century Gothic" w:hAnsi="Century Gothic"/>
                <w:sz w:val="20"/>
                <w:szCs w:val="20"/>
              </w:rPr>
              <w:t>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6604" w:type="dxa"/>
          </w:tcPr>
          <w:p w14:paraId="62DA9051" w14:textId="2F63CF0C" w:rsidR="004E69D5" w:rsidRPr="006042A9" w:rsidRDefault="007706CC" w:rsidP="00317E58">
            <w:pPr>
              <w:rPr>
                <w:rFonts w:ascii="Century Gothic" w:hAnsi="Century Gothic"/>
                <w:sz w:val="20"/>
                <w:szCs w:val="20"/>
              </w:rPr>
            </w:pPr>
            <w:r w:rsidRPr="006042A9">
              <w:rPr>
                <w:rFonts w:ascii="Century Gothic" w:hAnsi="Century Gothic"/>
                <w:sz w:val="20"/>
                <w:szCs w:val="20"/>
              </w:rPr>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r>
      <w:tr w:rsidR="004E69D5" w14:paraId="1C9E01F5" w14:textId="77777777" w:rsidTr="006042A9">
        <w:tc>
          <w:tcPr>
            <w:tcW w:w="2547" w:type="dxa"/>
            <w:shd w:val="clear" w:color="auto" w:fill="C00000"/>
            <w:vAlign w:val="center"/>
          </w:tcPr>
          <w:p w14:paraId="16E56A5D" w14:textId="1727CEB3" w:rsidR="004E69D5" w:rsidRPr="006042A9" w:rsidRDefault="004E69D5" w:rsidP="006042A9">
            <w:pPr>
              <w:jc w:val="center"/>
              <w:rPr>
                <w:rFonts w:ascii="Century Gothic" w:hAnsi="Century Gothic"/>
                <w:b/>
                <w:bCs/>
                <w:sz w:val="24"/>
                <w:szCs w:val="24"/>
              </w:rPr>
            </w:pPr>
            <w:r w:rsidRPr="006042A9">
              <w:rPr>
                <w:rFonts w:ascii="Century Gothic" w:hAnsi="Century Gothic"/>
                <w:b/>
                <w:bCs/>
                <w:sz w:val="24"/>
                <w:szCs w:val="24"/>
              </w:rPr>
              <w:t>Grammar</w:t>
            </w:r>
          </w:p>
        </w:tc>
        <w:tc>
          <w:tcPr>
            <w:tcW w:w="6237" w:type="dxa"/>
          </w:tcPr>
          <w:p w14:paraId="7A2E2FE6" w14:textId="09F77D8F" w:rsidR="004E69D5" w:rsidRPr="006042A9" w:rsidRDefault="007706CC" w:rsidP="00317E58">
            <w:pPr>
              <w:rPr>
                <w:rFonts w:ascii="Century Gothic" w:hAnsi="Century Gothic"/>
                <w:sz w:val="20"/>
                <w:szCs w:val="20"/>
              </w:rPr>
            </w:pPr>
            <w:r w:rsidRPr="006042A9">
              <w:rPr>
                <w:rFonts w:ascii="Century Gothic" w:hAnsi="Century Gothic"/>
                <w:sz w:val="20"/>
                <w:szCs w:val="20"/>
              </w:rPr>
              <w:t xml:space="preserve">Revision of gender and nouns and learn to use and recognise the terminology of articles (EG: definite, indefinite and partitive). Understand better the rules of adjectival agreement and possessive adjectives. Start to explore full verb conjugation (EG: 'I wear...', 'he/she wears...' </w:t>
            </w:r>
            <w:proofErr w:type="gramStart"/>
            <w:r w:rsidRPr="006042A9">
              <w:rPr>
                <w:rFonts w:ascii="Century Gothic" w:hAnsi="Century Gothic"/>
                <w:sz w:val="20"/>
                <w:szCs w:val="20"/>
              </w:rPr>
              <w:t>and also</w:t>
            </w:r>
            <w:proofErr w:type="gramEnd"/>
            <w:r w:rsidRPr="006042A9">
              <w:rPr>
                <w:rFonts w:ascii="Century Gothic" w:hAnsi="Century Gothic"/>
                <w:sz w:val="20"/>
                <w:szCs w:val="20"/>
              </w:rPr>
              <w:t xml:space="preserve"> be able to describe clothes in terms of colour EG: 'My blue coat'.</w:t>
            </w:r>
          </w:p>
        </w:tc>
        <w:tc>
          <w:tcPr>
            <w:tcW w:w="6604" w:type="dxa"/>
          </w:tcPr>
          <w:p w14:paraId="58F07AA5" w14:textId="42E58BDF" w:rsidR="004E69D5" w:rsidRPr="006042A9" w:rsidRDefault="007706CC" w:rsidP="00317E58">
            <w:pPr>
              <w:rPr>
                <w:rFonts w:ascii="Century Gothic" w:hAnsi="Century Gothic"/>
                <w:sz w:val="20"/>
                <w:szCs w:val="20"/>
              </w:rPr>
            </w:pPr>
            <w:r w:rsidRPr="006042A9">
              <w:rPr>
                <w:rFonts w:ascii="Century Gothic" w:hAnsi="Century Gothic"/>
                <w:sz w:val="20"/>
                <w:szCs w:val="20"/>
              </w:rPr>
              <w:t xml:space="preserve">Consolidate our understanding of gender and nouns, use of the negative, adjectival agreement and possessive adjectives (EG: which subjects I like at school </w:t>
            </w:r>
            <w:proofErr w:type="gramStart"/>
            <w:r w:rsidRPr="006042A9">
              <w:rPr>
                <w:rFonts w:ascii="Century Gothic" w:hAnsi="Century Gothic"/>
                <w:sz w:val="20"/>
                <w:szCs w:val="20"/>
              </w:rPr>
              <w:t>and also</w:t>
            </w:r>
            <w:proofErr w:type="gramEnd"/>
            <w:r w:rsidRPr="006042A9">
              <w:rPr>
                <w:rFonts w:ascii="Century Gothic" w:hAnsi="Century Gothic"/>
                <w:sz w:val="20"/>
                <w:szCs w:val="20"/>
              </w:rPr>
              <w:t xml:space="preserve"> which subjects I do not like). Become familiar with a wider range of connectives/conjunctions and more confident with full verb conjugation - both regular and irregular. EG: 'to go', 'to do', 'to have' and 'to be'.</w:t>
            </w:r>
          </w:p>
        </w:tc>
      </w:tr>
    </w:tbl>
    <w:p w14:paraId="3BBF39E6" w14:textId="6B680A6F" w:rsidR="00317E58" w:rsidRPr="00317E58" w:rsidRDefault="00317E58" w:rsidP="00317E58">
      <w:pPr>
        <w:tabs>
          <w:tab w:val="left" w:pos="8575"/>
        </w:tabs>
        <w:rPr>
          <w:rFonts w:ascii="Century Gothic" w:hAnsi="Century Gothic"/>
          <w:sz w:val="20"/>
          <w:szCs w:val="20"/>
        </w:rPr>
      </w:pPr>
      <w:r>
        <w:rPr>
          <w:rFonts w:ascii="Century Gothic" w:hAnsi="Century Gothic"/>
          <w:sz w:val="20"/>
          <w:szCs w:val="20"/>
        </w:rPr>
        <w:tab/>
      </w:r>
    </w:p>
    <w:sectPr w:rsidR="00317E58" w:rsidRPr="00317E58" w:rsidSect="00E35863">
      <w:headerReference w:type="default" r:id="rId9"/>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8FD877" w14:textId="77777777" w:rsidR="00D226E8" w:rsidRDefault="00D226E8" w:rsidP="00EB1A74">
      <w:pPr>
        <w:spacing w:after="0" w:line="240" w:lineRule="auto"/>
      </w:pPr>
      <w:r>
        <w:separator/>
      </w:r>
    </w:p>
  </w:endnote>
  <w:endnote w:type="continuationSeparator" w:id="0">
    <w:p w14:paraId="49530956" w14:textId="77777777" w:rsidR="00D226E8" w:rsidRDefault="00D226E8" w:rsidP="00EB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Twinkl Precursive">
    <w:panose1 w:val="02000000000000000000"/>
    <w:charset w:val="4D"/>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F13103" w14:textId="3E1CBF72" w:rsidR="00C95292" w:rsidRPr="00C95292" w:rsidRDefault="00C95292" w:rsidP="00C95292">
    <w:pPr>
      <w:pStyle w:val="Footer"/>
      <w:jc w:val="center"/>
      <w:rPr>
        <w:rFonts w:ascii="Century Gothic" w:hAnsi="Century Gothic"/>
      </w:rPr>
    </w:pPr>
    <w:r w:rsidRPr="00C95292">
      <w:rPr>
        <w:rFonts w:ascii="Century Gothic" w:hAnsi="Century Gothic"/>
        <w:b/>
        <w:bCs/>
      </w:rPr>
      <w:t>Subject Lead:</w:t>
    </w:r>
    <w:r w:rsidRPr="00C95292">
      <w:rPr>
        <w:rFonts w:ascii="Century Gothic" w:hAnsi="Century Gothic"/>
      </w:rPr>
      <w:t xml:space="preserve"> </w:t>
    </w:r>
    <w:r w:rsidR="00132CD3">
      <w:rPr>
        <w:rFonts w:ascii="Century Gothic" w:hAnsi="Century Gothic"/>
      </w:rPr>
      <w:t>M</w:t>
    </w:r>
    <w:r w:rsidR="00474D4C">
      <w:rPr>
        <w:rFonts w:ascii="Century Gothic" w:hAnsi="Century Gothic"/>
      </w:rPr>
      <w:t>r Haynes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B5C38DB" w14:textId="77777777" w:rsidR="00D226E8" w:rsidRDefault="00D226E8" w:rsidP="00EB1A74">
      <w:pPr>
        <w:spacing w:after="0" w:line="240" w:lineRule="auto"/>
      </w:pPr>
      <w:r>
        <w:separator/>
      </w:r>
    </w:p>
  </w:footnote>
  <w:footnote w:type="continuationSeparator" w:id="0">
    <w:p w14:paraId="5D44F5A9" w14:textId="77777777" w:rsidR="00D226E8" w:rsidRDefault="00D226E8" w:rsidP="00EB1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A92B2B" w14:textId="77777777" w:rsidR="00C02D36" w:rsidRDefault="00C02D36" w:rsidP="00EB1A74">
    <w:pPr>
      <w:pStyle w:val="Header"/>
      <w:jc w:val="center"/>
      <w:rPr>
        <w:rFonts w:ascii="Twinkl Precursive" w:hAnsi="Twinkl Precursive"/>
        <w:sz w:val="32"/>
        <w:szCs w:val="32"/>
      </w:rPr>
    </w:pPr>
    <w:r w:rsidRPr="007A66EB">
      <w:rPr>
        <w:rFonts w:ascii="Century Gothic" w:hAnsi="Century Gothic"/>
        <w:b/>
        <w:noProof/>
        <w:sz w:val="20"/>
        <w:szCs w:val="20"/>
        <w:lang w:eastAsia="en-GB"/>
      </w:rPr>
      <w:drawing>
        <wp:inline distT="0" distB="0" distL="0" distR="0" wp14:anchorId="161BF119" wp14:editId="48FD1297">
          <wp:extent cx="464481" cy="462710"/>
          <wp:effectExtent l="0" t="0" r="0" b="0"/>
          <wp:docPr id="4"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4641" cy="462869"/>
                  </a:xfrm>
                  <a:prstGeom prst="rect">
                    <a:avLst/>
                  </a:prstGeom>
                </pic:spPr>
              </pic:pic>
            </a:graphicData>
          </a:graphic>
        </wp:inline>
      </w:drawing>
    </w:r>
  </w:p>
  <w:p w14:paraId="4576636D" w14:textId="254E5C2E" w:rsidR="00C95292" w:rsidRDefault="00132CD3" w:rsidP="00C02D36">
    <w:pPr>
      <w:pStyle w:val="Header"/>
      <w:jc w:val="center"/>
      <w:rPr>
        <w:rFonts w:ascii="Century Gothic" w:hAnsi="Century Gothic"/>
        <w:b/>
        <w:bCs/>
        <w:sz w:val="28"/>
        <w:szCs w:val="28"/>
      </w:rPr>
    </w:pPr>
    <w:r>
      <w:rPr>
        <w:rFonts w:ascii="Century Gothic" w:hAnsi="Century Gothic"/>
        <w:b/>
        <w:bCs/>
        <w:sz w:val="28"/>
        <w:szCs w:val="28"/>
      </w:rPr>
      <w:t xml:space="preserve">Progression </w:t>
    </w:r>
    <w:r w:rsidR="00401504">
      <w:rPr>
        <w:rFonts w:ascii="Century Gothic" w:hAnsi="Century Gothic"/>
        <w:b/>
        <w:bCs/>
        <w:sz w:val="28"/>
        <w:szCs w:val="28"/>
      </w:rPr>
      <w:t>Grid</w:t>
    </w:r>
  </w:p>
  <w:p w14:paraId="60392B69" w14:textId="7773A754" w:rsidR="00EB1A74" w:rsidRPr="00C95292" w:rsidRDefault="000652FA" w:rsidP="00C02D36">
    <w:pPr>
      <w:pStyle w:val="Header"/>
      <w:jc w:val="center"/>
      <w:rPr>
        <w:rFonts w:ascii="Century Gothic" w:hAnsi="Century Gothic"/>
        <w:b/>
        <w:bCs/>
        <w:color w:val="C00000"/>
        <w:sz w:val="28"/>
        <w:szCs w:val="28"/>
      </w:rPr>
    </w:pPr>
    <w:r>
      <w:rPr>
        <w:rFonts w:ascii="Century Gothic" w:hAnsi="Century Gothic"/>
        <w:b/>
        <w:bCs/>
        <w:color w:val="C00000"/>
        <w:sz w:val="28"/>
        <w:szCs w:val="28"/>
      </w:rPr>
      <w:t>Modern Foreign Language - Spanish</w:t>
    </w:r>
  </w:p>
  <w:p w14:paraId="0257C886" w14:textId="38B0933A" w:rsidR="005C0366" w:rsidRPr="00C02D36" w:rsidRDefault="005C0366" w:rsidP="00C02D36">
    <w:pPr>
      <w:pStyle w:val="Header"/>
      <w:jc w:val="center"/>
      <w:rPr>
        <w:rFonts w:ascii="Century Gothic" w:hAnsi="Century Gothic"/>
        <w:b/>
        <w:bCs/>
        <w:sz w:val="28"/>
        <w:szCs w:val="28"/>
      </w:rPr>
    </w:pPr>
    <w:r>
      <w:rPr>
        <w:rFonts w:ascii="Century Gothic" w:hAnsi="Century Gothic"/>
        <w:b/>
        <w:bCs/>
        <w:sz w:val="28"/>
        <w:szCs w:val="28"/>
      </w:rPr>
      <w:t>202</w:t>
    </w:r>
    <w:r w:rsidR="006042A9">
      <w:rPr>
        <w:rFonts w:ascii="Century Gothic" w:hAnsi="Century Gothic"/>
        <w:b/>
        <w:bCs/>
        <w:sz w:val="28"/>
        <w:szCs w:val="28"/>
      </w:rPr>
      <w:t>6</w:t>
    </w:r>
    <w:r>
      <w:rPr>
        <w:rFonts w:ascii="Century Gothic" w:hAnsi="Century Gothic"/>
        <w:b/>
        <w:bCs/>
        <w:sz w:val="28"/>
        <w:szCs w:val="28"/>
      </w:rPr>
      <w:t>-202</w:t>
    </w:r>
    <w:r w:rsidR="006042A9">
      <w:rPr>
        <w:rFonts w:ascii="Century Gothic" w:hAnsi="Century Gothic"/>
        <w:b/>
        <w:bCs/>
        <w:sz w:val="28"/>
        <w:szCs w:val="28"/>
      </w:rPr>
      <w:t>7</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9A"/>
    <w:rsid w:val="00006245"/>
    <w:rsid w:val="000153A4"/>
    <w:rsid w:val="00044C48"/>
    <w:rsid w:val="0006289F"/>
    <w:rsid w:val="000652FA"/>
    <w:rsid w:val="00073F46"/>
    <w:rsid w:val="00081489"/>
    <w:rsid w:val="00106304"/>
    <w:rsid w:val="00127232"/>
    <w:rsid w:val="00132CD3"/>
    <w:rsid w:val="0014183F"/>
    <w:rsid w:val="001F7E99"/>
    <w:rsid w:val="002229E4"/>
    <w:rsid w:val="00226F85"/>
    <w:rsid w:val="00235E0D"/>
    <w:rsid w:val="00251669"/>
    <w:rsid w:val="00253045"/>
    <w:rsid w:val="00295BBB"/>
    <w:rsid w:val="002B724B"/>
    <w:rsid w:val="002E1077"/>
    <w:rsid w:val="002F65A2"/>
    <w:rsid w:val="00317E58"/>
    <w:rsid w:val="0034387F"/>
    <w:rsid w:val="003455F0"/>
    <w:rsid w:val="00346E15"/>
    <w:rsid w:val="003853CB"/>
    <w:rsid w:val="003C325D"/>
    <w:rsid w:val="003D6BEC"/>
    <w:rsid w:val="00401504"/>
    <w:rsid w:val="00442474"/>
    <w:rsid w:val="0044636E"/>
    <w:rsid w:val="0044747B"/>
    <w:rsid w:val="00466245"/>
    <w:rsid w:val="00474D4C"/>
    <w:rsid w:val="00475E27"/>
    <w:rsid w:val="0048018A"/>
    <w:rsid w:val="004966DF"/>
    <w:rsid w:val="004C0728"/>
    <w:rsid w:val="004D0A7A"/>
    <w:rsid w:val="004E69D5"/>
    <w:rsid w:val="005041E7"/>
    <w:rsid w:val="00524EB0"/>
    <w:rsid w:val="005730F0"/>
    <w:rsid w:val="00596233"/>
    <w:rsid w:val="005B78C4"/>
    <w:rsid w:val="005C0366"/>
    <w:rsid w:val="006042A9"/>
    <w:rsid w:val="006220A4"/>
    <w:rsid w:val="00647B4E"/>
    <w:rsid w:val="00681863"/>
    <w:rsid w:val="006C70E1"/>
    <w:rsid w:val="006C7D8E"/>
    <w:rsid w:val="007003FF"/>
    <w:rsid w:val="00743F23"/>
    <w:rsid w:val="007609EE"/>
    <w:rsid w:val="007706CC"/>
    <w:rsid w:val="007A49BC"/>
    <w:rsid w:val="007C42E2"/>
    <w:rsid w:val="007D50EA"/>
    <w:rsid w:val="007E2E7A"/>
    <w:rsid w:val="007F57BC"/>
    <w:rsid w:val="0080158C"/>
    <w:rsid w:val="0081369A"/>
    <w:rsid w:val="00814128"/>
    <w:rsid w:val="00814740"/>
    <w:rsid w:val="008735AC"/>
    <w:rsid w:val="00885ED7"/>
    <w:rsid w:val="008D0E92"/>
    <w:rsid w:val="009143EA"/>
    <w:rsid w:val="0093087F"/>
    <w:rsid w:val="009419EF"/>
    <w:rsid w:val="00960185"/>
    <w:rsid w:val="00967E09"/>
    <w:rsid w:val="00971043"/>
    <w:rsid w:val="00982B20"/>
    <w:rsid w:val="00996A8E"/>
    <w:rsid w:val="009A7A19"/>
    <w:rsid w:val="009C4AB1"/>
    <w:rsid w:val="00A12465"/>
    <w:rsid w:val="00A33422"/>
    <w:rsid w:val="00A611FD"/>
    <w:rsid w:val="00AB0E95"/>
    <w:rsid w:val="00AB692A"/>
    <w:rsid w:val="00AF096C"/>
    <w:rsid w:val="00AF1541"/>
    <w:rsid w:val="00B25555"/>
    <w:rsid w:val="00B4773B"/>
    <w:rsid w:val="00BC349A"/>
    <w:rsid w:val="00BD2451"/>
    <w:rsid w:val="00C02D36"/>
    <w:rsid w:val="00C31490"/>
    <w:rsid w:val="00C401F5"/>
    <w:rsid w:val="00C43873"/>
    <w:rsid w:val="00C46300"/>
    <w:rsid w:val="00C626E5"/>
    <w:rsid w:val="00C7402D"/>
    <w:rsid w:val="00C86428"/>
    <w:rsid w:val="00C90D6C"/>
    <w:rsid w:val="00C95292"/>
    <w:rsid w:val="00CE2E27"/>
    <w:rsid w:val="00D069EA"/>
    <w:rsid w:val="00D10549"/>
    <w:rsid w:val="00D226E8"/>
    <w:rsid w:val="00D631E2"/>
    <w:rsid w:val="00D77413"/>
    <w:rsid w:val="00DB2353"/>
    <w:rsid w:val="00E04593"/>
    <w:rsid w:val="00E12E8F"/>
    <w:rsid w:val="00E30343"/>
    <w:rsid w:val="00E35863"/>
    <w:rsid w:val="00E73C1C"/>
    <w:rsid w:val="00E95C5F"/>
    <w:rsid w:val="00EB1A74"/>
    <w:rsid w:val="00EE4A0F"/>
    <w:rsid w:val="00F154F2"/>
    <w:rsid w:val="00F538BD"/>
    <w:rsid w:val="00F75D10"/>
    <w:rsid w:val="00F92878"/>
    <w:rsid w:val="00FD5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FAE89"/>
  <w15:chartTrackingRefBased/>
  <w15:docId w15:val="{CFE29A56-EADB-4843-A39D-1E3618812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3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4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49A"/>
    <w:rPr>
      <w:rFonts w:ascii="Segoe UI" w:hAnsi="Segoe UI" w:cs="Segoe UI"/>
      <w:sz w:val="18"/>
      <w:szCs w:val="18"/>
    </w:rPr>
  </w:style>
  <w:style w:type="paragraph" w:styleId="Header">
    <w:name w:val="header"/>
    <w:basedOn w:val="Normal"/>
    <w:link w:val="HeaderChar"/>
    <w:uiPriority w:val="99"/>
    <w:unhideWhenUsed/>
    <w:rsid w:val="00EB1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A74"/>
  </w:style>
  <w:style w:type="paragraph" w:styleId="Footer">
    <w:name w:val="footer"/>
    <w:basedOn w:val="Normal"/>
    <w:link w:val="FooterChar"/>
    <w:uiPriority w:val="99"/>
    <w:unhideWhenUsed/>
    <w:rsid w:val="00EB1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A74"/>
  </w:style>
  <w:style w:type="paragraph" w:styleId="ListParagraph">
    <w:name w:val="List Paragraph"/>
    <w:basedOn w:val="Normal"/>
    <w:uiPriority w:val="34"/>
    <w:qFormat/>
    <w:rsid w:val="00081489"/>
    <w:pPr>
      <w:ind w:left="720"/>
      <w:contextualSpacing/>
    </w:pPr>
  </w:style>
  <w:style w:type="paragraph" w:styleId="NormalWeb">
    <w:name w:val="Normal (Web)"/>
    <w:basedOn w:val="Normal"/>
    <w:uiPriority w:val="99"/>
    <w:semiHidden/>
    <w:unhideWhenUsed/>
    <w:rsid w:val="00FD5C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132CD3"/>
    <w:pPr>
      <w:widowControl w:val="0"/>
      <w:autoSpaceDE w:val="0"/>
      <w:autoSpaceDN w:val="0"/>
      <w:spacing w:before="63" w:after="0" w:line="240" w:lineRule="auto"/>
      <w:ind w:left="282" w:hanging="171"/>
    </w:pPr>
    <w:rPr>
      <w:rFonts w:ascii="Roboto" w:eastAsia="Roboto" w:hAnsi="Roboto" w:cs="Roboto"/>
      <w:lang w:eastAsia="en-GB" w:bidi="en-GB"/>
    </w:rPr>
  </w:style>
  <w:style w:type="paragraph" w:customStyle="1" w:styleId="Default">
    <w:name w:val="Default"/>
    <w:rsid w:val="00C8642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57053">
      <w:bodyDiv w:val="1"/>
      <w:marLeft w:val="0"/>
      <w:marRight w:val="0"/>
      <w:marTop w:val="0"/>
      <w:marBottom w:val="0"/>
      <w:divBdr>
        <w:top w:val="none" w:sz="0" w:space="0" w:color="auto"/>
        <w:left w:val="none" w:sz="0" w:space="0" w:color="auto"/>
        <w:bottom w:val="none" w:sz="0" w:space="0" w:color="auto"/>
        <w:right w:val="none" w:sz="0" w:space="0" w:color="auto"/>
      </w:divBdr>
    </w:div>
    <w:div w:id="151913962">
      <w:bodyDiv w:val="1"/>
      <w:marLeft w:val="0"/>
      <w:marRight w:val="0"/>
      <w:marTop w:val="0"/>
      <w:marBottom w:val="0"/>
      <w:divBdr>
        <w:top w:val="none" w:sz="0" w:space="0" w:color="auto"/>
        <w:left w:val="none" w:sz="0" w:space="0" w:color="auto"/>
        <w:bottom w:val="none" w:sz="0" w:space="0" w:color="auto"/>
        <w:right w:val="none" w:sz="0" w:space="0" w:color="auto"/>
      </w:divBdr>
    </w:div>
    <w:div w:id="285739997">
      <w:bodyDiv w:val="1"/>
      <w:marLeft w:val="0"/>
      <w:marRight w:val="0"/>
      <w:marTop w:val="0"/>
      <w:marBottom w:val="0"/>
      <w:divBdr>
        <w:top w:val="none" w:sz="0" w:space="0" w:color="auto"/>
        <w:left w:val="none" w:sz="0" w:space="0" w:color="auto"/>
        <w:bottom w:val="none" w:sz="0" w:space="0" w:color="auto"/>
        <w:right w:val="none" w:sz="0" w:space="0" w:color="auto"/>
      </w:divBdr>
    </w:div>
    <w:div w:id="459417069">
      <w:bodyDiv w:val="1"/>
      <w:marLeft w:val="0"/>
      <w:marRight w:val="0"/>
      <w:marTop w:val="0"/>
      <w:marBottom w:val="0"/>
      <w:divBdr>
        <w:top w:val="none" w:sz="0" w:space="0" w:color="auto"/>
        <w:left w:val="none" w:sz="0" w:space="0" w:color="auto"/>
        <w:bottom w:val="none" w:sz="0" w:space="0" w:color="auto"/>
        <w:right w:val="none" w:sz="0" w:space="0" w:color="auto"/>
      </w:divBdr>
    </w:div>
    <w:div w:id="593321122">
      <w:bodyDiv w:val="1"/>
      <w:marLeft w:val="0"/>
      <w:marRight w:val="0"/>
      <w:marTop w:val="0"/>
      <w:marBottom w:val="0"/>
      <w:divBdr>
        <w:top w:val="none" w:sz="0" w:space="0" w:color="auto"/>
        <w:left w:val="none" w:sz="0" w:space="0" w:color="auto"/>
        <w:bottom w:val="none" w:sz="0" w:space="0" w:color="auto"/>
        <w:right w:val="none" w:sz="0" w:space="0" w:color="auto"/>
      </w:divBdr>
    </w:div>
    <w:div w:id="1102265687">
      <w:bodyDiv w:val="1"/>
      <w:marLeft w:val="0"/>
      <w:marRight w:val="0"/>
      <w:marTop w:val="0"/>
      <w:marBottom w:val="0"/>
      <w:divBdr>
        <w:top w:val="none" w:sz="0" w:space="0" w:color="auto"/>
        <w:left w:val="none" w:sz="0" w:space="0" w:color="auto"/>
        <w:bottom w:val="none" w:sz="0" w:space="0" w:color="auto"/>
        <w:right w:val="none" w:sz="0" w:space="0" w:color="auto"/>
      </w:divBdr>
    </w:div>
    <w:div w:id="1109861145">
      <w:bodyDiv w:val="1"/>
      <w:marLeft w:val="0"/>
      <w:marRight w:val="0"/>
      <w:marTop w:val="0"/>
      <w:marBottom w:val="0"/>
      <w:divBdr>
        <w:top w:val="none" w:sz="0" w:space="0" w:color="auto"/>
        <w:left w:val="none" w:sz="0" w:space="0" w:color="auto"/>
        <w:bottom w:val="none" w:sz="0" w:space="0" w:color="auto"/>
        <w:right w:val="none" w:sz="0" w:space="0" w:color="auto"/>
      </w:divBdr>
    </w:div>
    <w:div w:id="1149636918">
      <w:bodyDiv w:val="1"/>
      <w:marLeft w:val="0"/>
      <w:marRight w:val="0"/>
      <w:marTop w:val="0"/>
      <w:marBottom w:val="0"/>
      <w:divBdr>
        <w:top w:val="none" w:sz="0" w:space="0" w:color="auto"/>
        <w:left w:val="none" w:sz="0" w:space="0" w:color="auto"/>
        <w:bottom w:val="none" w:sz="0" w:space="0" w:color="auto"/>
        <w:right w:val="none" w:sz="0" w:space="0" w:color="auto"/>
      </w:divBdr>
    </w:div>
    <w:div w:id="1351880997">
      <w:bodyDiv w:val="1"/>
      <w:marLeft w:val="0"/>
      <w:marRight w:val="0"/>
      <w:marTop w:val="0"/>
      <w:marBottom w:val="0"/>
      <w:divBdr>
        <w:top w:val="none" w:sz="0" w:space="0" w:color="auto"/>
        <w:left w:val="none" w:sz="0" w:space="0" w:color="auto"/>
        <w:bottom w:val="none" w:sz="0" w:space="0" w:color="auto"/>
        <w:right w:val="none" w:sz="0" w:space="0" w:color="auto"/>
      </w:divBdr>
    </w:div>
    <w:div w:id="1680768595">
      <w:bodyDiv w:val="1"/>
      <w:marLeft w:val="0"/>
      <w:marRight w:val="0"/>
      <w:marTop w:val="0"/>
      <w:marBottom w:val="0"/>
      <w:divBdr>
        <w:top w:val="none" w:sz="0" w:space="0" w:color="auto"/>
        <w:left w:val="none" w:sz="0" w:space="0" w:color="auto"/>
        <w:bottom w:val="none" w:sz="0" w:space="0" w:color="auto"/>
        <w:right w:val="none" w:sz="0" w:space="0" w:color="auto"/>
      </w:divBdr>
    </w:div>
    <w:div w:id="17731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23BDCD-EDD8-4E1A-B876-6355C0A01CC2}"/>
</file>

<file path=customXml/itemProps2.xml><?xml version="1.0" encoding="utf-8"?>
<ds:datastoreItem xmlns:ds="http://schemas.openxmlformats.org/officeDocument/2006/customXml" ds:itemID="{D9A34B8E-90E7-4B49-A371-414C7997C9CB}">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F0EF75B3-0F21-4E44-A8F9-EFD0372911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Fewtrell</dc:creator>
  <cp:keywords/>
  <dc:description/>
  <cp:lastModifiedBy>Lauren Beresford</cp:lastModifiedBy>
  <cp:revision>3</cp:revision>
  <cp:lastPrinted>2021-11-16T16:45:00Z</cp:lastPrinted>
  <dcterms:created xsi:type="dcterms:W3CDTF">2026-10-23T10:40:00Z</dcterms:created>
  <dcterms:modified xsi:type="dcterms:W3CDTF">2026-10-23T10:49:00Z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16800</vt:r8>
  </property>
  <property fmtid="{D5CDD505-2E9C-101B-9397-08002B2CF9AE}" pid="4" name="MediaServiceImageTags">
    <vt:lpwstr/>
  </property>
</Properties>
</file>